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79107180" w:rsidR="00D82C18" w:rsidRPr="0003565B" w:rsidRDefault="00B71D66" w:rsidP="0003565B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>Plan de cours</w:t>
      </w:r>
    </w:p>
    <w:p w14:paraId="297047B4" w14:textId="77777777" w:rsidR="00B71D66" w:rsidRPr="003406F3" w:rsidRDefault="00B71D66" w:rsidP="00B71D66">
      <w:pPr>
        <w:pStyle w:val="Paragraphedeliste"/>
        <w:ind w:left="360"/>
        <w:rPr>
          <w:rFonts w:ascii="Verdana" w:hAnsi="Verdana"/>
        </w:rPr>
      </w:pPr>
    </w:p>
    <w:p w14:paraId="6857C56D" w14:textId="6A7AE0A3" w:rsidR="00D82C18" w:rsidRPr="0003565B" w:rsidRDefault="00D82C18" w:rsidP="0003565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Cours 2.2.3 (Présentation générale des preuves relatives à l</w:t>
      </w:r>
      <w:r w:rsidR="00D358E3">
        <w:rPr>
          <w:rFonts w:ascii="Verdana" w:hAnsi="Verdana"/>
          <w:sz w:val="28"/>
          <w:szCs w:val="28"/>
        </w:rPr>
        <w:t>’</w:t>
      </w:r>
      <w:r>
        <w:rPr>
          <w:rFonts w:ascii="Verdana" w:hAnsi="Verdana"/>
          <w:sz w:val="28"/>
          <w:szCs w:val="28"/>
        </w:rPr>
        <w:t>étude de cas)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7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3BB21B6"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Cours 2.2.3 (Présentation générale des preuves relatives à l</w:t>
            </w:r>
            <w:r w:rsidR="00D358E3">
              <w:rPr>
                <w:rFonts w:ascii="Verdana" w:hAnsi="Verdana"/>
                <w:sz w:val="22"/>
                <w:szCs w:val="22"/>
              </w:rPr>
              <w:t>’</w:t>
            </w:r>
            <w:r>
              <w:rPr>
                <w:rFonts w:ascii="Verdana" w:hAnsi="Verdana"/>
                <w:sz w:val="22"/>
                <w:szCs w:val="22"/>
              </w:rPr>
              <w:t>étude de cas)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425AA90D" w:rsidR="00D82C18" w:rsidRPr="003406F3" w:rsidRDefault="00D82C18" w:rsidP="0068638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Durée : 30 minutes</w:t>
            </w:r>
          </w:p>
        </w:tc>
      </w:tr>
      <w:tr w:rsidR="003406F3" w:rsidRPr="003406F3" w14:paraId="7C1107AB" w14:textId="77777777" w:rsidTr="00466343">
        <w:trPr>
          <w:trHeight w:val="1997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Ressources nécessaires :</w:t>
            </w:r>
          </w:p>
          <w:p w14:paraId="3E3ADEA0" w14:textId="514F7F6E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PC/ordinateur portable équipé des versions de logiciels compatibles avec les supports préparés</w:t>
            </w:r>
          </w:p>
          <w:p w14:paraId="737B8760" w14:textId="4BE21410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Rétroprojecteur et écran</w:t>
            </w:r>
          </w:p>
          <w:p w14:paraId="65055340" w14:textId="43B68390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Accès Internet (si disponible)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Papier et stylos pour la prise de notes.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959F9BE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But de la session</w:t>
            </w:r>
          </w:p>
          <w:p w14:paraId="3FE58655" w14:textId="2913E50C" w:rsidR="00A03CF0" w:rsidRPr="003406F3" w:rsidRDefault="006C6DDD" w:rsidP="006863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 but de cette session est de présenter le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s éléments de base de </w:t>
            </w:r>
            <w:r>
              <w:rPr>
                <w:rFonts w:ascii="Verdana" w:hAnsi="Verdana"/>
                <w:sz w:val="18"/>
                <w:szCs w:val="18"/>
              </w:rPr>
              <w:t>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 xml:space="preserve">étude de cas. On évitera de trop entrer dans les détails pour </w:t>
            </w:r>
            <w:r w:rsidR="0035226E">
              <w:rPr>
                <w:rFonts w:ascii="Verdana" w:hAnsi="Verdana"/>
                <w:sz w:val="18"/>
                <w:szCs w:val="18"/>
              </w:rPr>
              <w:t xml:space="preserve">que l’exercice reste </w:t>
            </w:r>
            <w:r w:rsidR="00466343">
              <w:rPr>
                <w:rFonts w:ascii="Verdana" w:hAnsi="Verdana"/>
                <w:sz w:val="18"/>
                <w:szCs w:val="18"/>
              </w:rPr>
              <w:t>stimulant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3406F3" w:rsidRPr="003406F3" w14:paraId="1B5A80A7" w14:textId="77777777" w:rsidTr="00466343">
        <w:trPr>
          <w:trHeight w:val="3234"/>
        </w:trPr>
        <w:tc>
          <w:tcPr>
            <w:tcW w:w="9010" w:type="dxa"/>
            <w:gridSpan w:val="3"/>
            <w:vAlign w:val="center"/>
          </w:tcPr>
          <w:p w14:paraId="559A7E05" w14:textId="2E20D7F6"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Objectifs</w:t>
            </w:r>
            <w:r w:rsidR="00D358E3">
              <w:rPr>
                <w:rFonts w:ascii="Verdana" w:hAnsi="Verdana"/>
                <w:b/>
                <w:sz w:val="22"/>
                <w:szCs w:val="22"/>
              </w:rPr>
              <w:t> 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14:paraId="3BEE7864" w14:textId="2A7E4756" w:rsidR="005703B7" w:rsidRPr="00686380" w:rsidRDefault="00DA2A0B" w:rsidP="00686380">
            <w:pPr>
              <w:pStyle w:val="Paragraphedeliste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À</w:t>
            </w:r>
            <w:r w:rsidR="005703B7">
              <w:rPr>
                <w:rFonts w:ascii="Verdana" w:hAnsi="Verdana"/>
                <w:sz w:val="18"/>
                <w:szCs w:val="18"/>
              </w:rPr>
              <w:t xml:space="preserve">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="005703B7">
              <w:rPr>
                <w:rFonts w:ascii="Verdana" w:hAnsi="Verdana"/>
                <w:sz w:val="18"/>
                <w:szCs w:val="18"/>
              </w:rPr>
              <w:t>issue de ce cours, les participants auront atteint les objectifs suivants</w:t>
            </w:r>
            <w:r>
              <w:rPr>
                <w:rFonts w:ascii="Verdana" w:hAnsi="Verdana"/>
                <w:sz w:val="18"/>
                <w:szCs w:val="18"/>
              </w:rPr>
              <w:t> :</w:t>
            </w:r>
          </w:p>
          <w:p w14:paraId="05FB3B36" w14:textId="551D471B" w:rsidR="00686380" w:rsidRPr="00686380" w:rsidRDefault="00DA2A0B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</w:t>
            </w:r>
            <w:r w:rsidR="00686380">
              <w:t>omprendre l</w:t>
            </w:r>
            <w:r w:rsidR="00D358E3">
              <w:t>’</w:t>
            </w:r>
            <w:r w:rsidR="00686380">
              <w:t>introduction et les premiers éléments de l</w:t>
            </w:r>
            <w:r w:rsidR="00D358E3">
              <w:t>’</w:t>
            </w:r>
            <w:r w:rsidR="00686380">
              <w:t>affaire</w:t>
            </w:r>
            <w:r>
              <w:t> ;</w:t>
            </w:r>
          </w:p>
          <w:p w14:paraId="121B4B54" w14:textId="5EA2CB79" w:rsidR="00686380" w:rsidRPr="00686380" w:rsidRDefault="00DA2A0B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</w:t>
            </w:r>
            <w:r w:rsidR="00686380">
              <w:t>omprendre le développement de l</w:t>
            </w:r>
            <w:r w:rsidR="00D358E3">
              <w:t>’</w:t>
            </w:r>
            <w:r w:rsidR="00686380">
              <w:t>affaire en analysant les preuves électroniques et matérielles présentées ;</w:t>
            </w:r>
          </w:p>
          <w:p w14:paraId="3C259EA5" w14:textId="0313E221" w:rsidR="00686380" w:rsidRPr="00686380" w:rsidRDefault="00DA2A0B" w:rsidP="00686380">
            <w:pPr>
              <w:pStyle w:val="bul1"/>
              <w:numPr>
                <w:ilvl w:val="0"/>
                <w:numId w:val="11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s</w:t>
            </w:r>
            <w:r w:rsidR="00686380">
              <w:t>uivre la perpétration proprement dite et trouver d</w:t>
            </w:r>
            <w:r w:rsidR="00D358E3">
              <w:t>’</w:t>
            </w:r>
            <w:r w:rsidR="00686380">
              <w:t>autres faits dans les dépositions de témoins</w:t>
            </w:r>
            <w:r>
              <w:t> ;</w:t>
            </w:r>
          </w:p>
          <w:p w14:paraId="61ABEAC5" w14:textId="4387E068" w:rsidR="0051122C" w:rsidRPr="00686380" w:rsidRDefault="00DA2A0B" w:rsidP="00686380">
            <w:pPr>
              <w:pStyle w:val="bul1"/>
              <w:numPr>
                <w:ilvl w:val="0"/>
                <w:numId w:val="10"/>
              </w:numPr>
              <w:spacing w:before="120" w:after="120" w:line="280" w:lineRule="exact"/>
              <w:rPr>
                <w:bCs/>
                <w:szCs w:val="18"/>
              </w:rPr>
            </w:pPr>
            <w:r>
              <w:t>c</w:t>
            </w:r>
            <w:r w:rsidR="00686380">
              <w:t>onnaître les termes et définitions-clés relatifs aux outils de la cybercriminalité, dont ceux utilisés en l</w:t>
            </w:r>
            <w:r w:rsidR="00D358E3">
              <w:t>’</w:t>
            </w:r>
            <w:r w:rsidR="00686380">
              <w:t>espèce.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Note aux formateurs</w:t>
            </w:r>
          </w:p>
          <w:p w14:paraId="5EFF4BEF" w14:textId="193D8D48" w:rsidR="001A51A7" w:rsidRPr="00686380" w:rsidRDefault="00B569A5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Cette session a été préparée pour expliquer aux participants</w:t>
            </w:r>
            <w:r w:rsidR="009777A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les principaux faits et éléments de preuve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 xml:space="preserve">étude de cas. Elle est divisée en cinq parties. La première partie du diaporama expose les faits initiaux 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tels qu’ils sont </w:t>
            </w:r>
            <w:r>
              <w:rPr>
                <w:rFonts w:ascii="Verdana" w:hAnsi="Verdana"/>
                <w:sz w:val="18"/>
                <w:szCs w:val="18"/>
              </w:rPr>
              <w:t>contenus dans les documents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>étude de cas. La deuxième partie présent</w:t>
            </w:r>
            <w:r w:rsidR="00466343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 xml:space="preserve"> la structure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 xml:space="preserve">affaire. La troisième partie </w:t>
            </w:r>
            <w:r w:rsidR="00466343">
              <w:rPr>
                <w:rFonts w:ascii="Verdana" w:hAnsi="Verdana"/>
                <w:sz w:val="18"/>
                <w:szCs w:val="18"/>
              </w:rPr>
              <w:t>est</w:t>
            </w:r>
            <w:r>
              <w:rPr>
                <w:rFonts w:ascii="Verdana" w:hAnsi="Verdana"/>
                <w:sz w:val="18"/>
                <w:szCs w:val="18"/>
              </w:rPr>
              <w:t xml:space="preserve"> consacrée à la perpétration de l’infraction. La quatrième partie fourni</w:t>
            </w:r>
            <w:r w:rsidR="00466343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 les él</w:t>
            </w:r>
            <w:r w:rsidR="009777AB">
              <w:rPr>
                <w:rFonts w:ascii="Verdana" w:hAnsi="Verdana"/>
                <w:sz w:val="18"/>
                <w:szCs w:val="18"/>
              </w:rPr>
              <w:t>é</w:t>
            </w:r>
            <w:r>
              <w:rPr>
                <w:rFonts w:ascii="Verdana" w:hAnsi="Verdana"/>
                <w:sz w:val="18"/>
                <w:szCs w:val="18"/>
              </w:rPr>
              <w:t xml:space="preserve">ments de base pour le début des investigations et du travail des participants. </w:t>
            </w:r>
            <w:r w:rsidR="00DA2A0B">
              <w:rPr>
                <w:rFonts w:ascii="Verdana" w:hAnsi="Verdana"/>
                <w:sz w:val="18"/>
                <w:szCs w:val="18"/>
              </w:rPr>
              <w:t>Enfin, l</w:t>
            </w:r>
            <w:r>
              <w:rPr>
                <w:rFonts w:ascii="Verdana" w:hAnsi="Verdana"/>
                <w:sz w:val="18"/>
                <w:szCs w:val="18"/>
              </w:rPr>
              <w:t>a cinquième partie fait la synthèse de tous les éléments présentés.</w:t>
            </w:r>
          </w:p>
        </w:tc>
      </w:tr>
      <w:tr w:rsidR="003406F3" w:rsidRPr="003406F3" w14:paraId="7760520D" w14:textId="77777777" w:rsidTr="00466343">
        <w:trPr>
          <w:trHeight w:val="48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Contenus d’enseignement</w:t>
            </w:r>
          </w:p>
        </w:tc>
      </w:tr>
      <w:tr w:rsidR="003406F3" w:rsidRPr="003406F3" w14:paraId="57CC7AA4" w14:textId="77777777" w:rsidTr="00466343">
        <w:trPr>
          <w:trHeight w:val="433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Diapositives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Sommaire</w:t>
            </w:r>
          </w:p>
        </w:tc>
      </w:tr>
      <w:tr w:rsidR="003406F3" w:rsidRPr="003406F3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2FC41B30"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à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281A5A31"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Les premières diapositives présentent la structure et les objectifs de cette session. Les participants auront la possibilité de poser toute question qu’ils pourraient avoir à ce sujet.</w:t>
            </w:r>
          </w:p>
        </w:tc>
      </w:tr>
      <w:tr w:rsidR="003406F3" w:rsidRPr="003406F3" w14:paraId="65F07CB5" w14:textId="77777777" w:rsidTr="00466343">
        <w:trPr>
          <w:trHeight w:val="1134"/>
        </w:trPr>
        <w:tc>
          <w:tcPr>
            <w:tcW w:w="1615" w:type="dxa"/>
            <w:vAlign w:val="center"/>
          </w:tcPr>
          <w:p w14:paraId="6F5AEB2D" w14:textId="4CA8D48F" w:rsidR="00D82C18" w:rsidRPr="003406F3" w:rsidRDefault="00B12C44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à 9</w:t>
            </w:r>
          </w:p>
        </w:tc>
        <w:tc>
          <w:tcPr>
            <w:tcW w:w="7395" w:type="dxa"/>
            <w:gridSpan w:val="2"/>
            <w:vAlign w:val="center"/>
          </w:tcPr>
          <w:p w14:paraId="1F2DCA8F" w14:textId="71B59742" w:rsidR="00686380" w:rsidRPr="00DA2A0B" w:rsidRDefault="00B12C44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>Ces diapositives présentent le scénario</w:t>
            </w:r>
            <w:r w:rsidR="00D05A27">
              <w:rPr>
                <w:rFonts w:ascii="Verdana" w:hAnsi="Verdana"/>
                <w:sz w:val="18"/>
                <w:szCs w:val="18"/>
              </w:rPr>
              <w:t xml:space="preserve"> de l’étude de cas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qui </w:t>
            </w:r>
            <w:r w:rsidR="00747781">
              <w:rPr>
                <w:rFonts w:ascii="Verdana" w:hAnsi="Verdana"/>
                <w:sz w:val="18"/>
                <w:szCs w:val="18"/>
              </w:rPr>
              <w:t>met en scène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la Federal Bank of Atlantis (FBA) </w:t>
            </w:r>
            <w:r w:rsidR="00E77833">
              <w:rPr>
                <w:rFonts w:ascii="Verdana" w:hAnsi="Verdana"/>
                <w:sz w:val="18"/>
                <w:szCs w:val="18"/>
              </w:rPr>
              <w:t xml:space="preserve">en tant que </w:t>
            </w:r>
            <w:r w:rsidRPr="00DA2A0B">
              <w:rPr>
                <w:rFonts w:ascii="Verdana" w:hAnsi="Verdana"/>
                <w:sz w:val="18"/>
                <w:szCs w:val="18"/>
              </w:rPr>
              <w:t>banque internationale ancienne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DA2A0B">
              <w:rPr>
                <w:rFonts w:ascii="Verdana" w:hAnsi="Verdana"/>
                <w:sz w:val="18"/>
                <w:szCs w:val="18"/>
              </w:rPr>
              <w:t>à la réputation bien établie. La description</w:t>
            </w:r>
            <w:r w:rsidR="00E77833">
              <w:rPr>
                <w:rFonts w:ascii="Verdana" w:hAnsi="Verdana"/>
                <w:sz w:val="18"/>
                <w:szCs w:val="18"/>
              </w:rPr>
              <w:t xml:space="preserve"> qui en est faite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devrait amener les participants à </w:t>
            </w:r>
            <w:r w:rsidR="00E77833">
              <w:rPr>
                <w:rFonts w:ascii="Verdana" w:hAnsi="Verdana"/>
                <w:sz w:val="18"/>
                <w:szCs w:val="18"/>
              </w:rPr>
              <w:t>penser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que ce type de banque devrait </w:t>
            </w:r>
            <w:r w:rsidR="00466343">
              <w:rPr>
                <w:rFonts w:ascii="Verdana" w:hAnsi="Verdana"/>
                <w:sz w:val="18"/>
                <w:szCs w:val="18"/>
              </w:rPr>
              <w:t xml:space="preserve">en principe </w:t>
            </w:r>
            <w:r w:rsidRPr="00DA2A0B">
              <w:rPr>
                <w:rFonts w:ascii="Verdana" w:hAnsi="Verdana"/>
                <w:sz w:val="18"/>
                <w:szCs w:val="18"/>
              </w:rPr>
              <w:t>être à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Pr="00DA2A0B">
              <w:rPr>
                <w:rFonts w:ascii="Verdana" w:hAnsi="Verdana"/>
                <w:sz w:val="18"/>
                <w:szCs w:val="18"/>
              </w:rPr>
              <w:t>abri des problèmes, a fortiori tels que ceux qui seront décrits plus loin.</w:t>
            </w:r>
          </w:p>
          <w:p w14:paraId="6F9D017A" w14:textId="3C95BB25" w:rsidR="00686380" w:rsidRPr="00DA2A0B" w:rsidRDefault="00686380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 xml:space="preserve">Profil des entreprises </w:t>
            </w:r>
            <w:r w:rsidR="00D05A27">
              <w:rPr>
                <w:rFonts w:ascii="Verdana" w:hAnsi="Verdana"/>
                <w:sz w:val="18"/>
                <w:szCs w:val="18"/>
              </w:rPr>
              <w:t>impliquées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dans le scénario de l’étude de cas. </w:t>
            </w:r>
            <w:r w:rsidR="00E77833">
              <w:rPr>
                <w:rFonts w:ascii="Verdana" w:hAnsi="Verdana"/>
                <w:sz w:val="18"/>
                <w:szCs w:val="18"/>
              </w:rPr>
              <w:t>On trouvera dans les supports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trois documents Word en format</w:t>
            </w:r>
            <w:r w:rsidR="00D358E3">
              <w:rPr>
                <w:rFonts w:ascii="Verdana" w:hAnsi="Verdana"/>
                <w:sz w:val="18"/>
                <w:szCs w:val="18"/>
              </w:rPr>
              <w:t> 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97-2003. Ils 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seront </w:t>
            </w:r>
            <w:r w:rsidRPr="00DA2A0B">
              <w:rPr>
                <w:rFonts w:ascii="Verdana" w:hAnsi="Verdana"/>
                <w:sz w:val="18"/>
                <w:szCs w:val="18"/>
              </w:rPr>
              <w:t>mis à la disposition des participants en version papier ou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 en version électronique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DA2A0B">
              <w:rPr>
                <w:rFonts w:ascii="Verdana" w:hAnsi="Verdana"/>
                <w:sz w:val="18"/>
                <w:szCs w:val="18"/>
              </w:rPr>
              <w:t xml:space="preserve">si les circonstances le permettent et si </w:t>
            </w:r>
            <w:r w:rsidR="00DA2A0B" w:rsidRPr="00DA2A0B">
              <w:rPr>
                <w:rFonts w:ascii="Verdana" w:hAnsi="Verdana"/>
                <w:sz w:val="18"/>
                <w:szCs w:val="18"/>
              </w:rPr>
              <w:t>tous les participants ont un accès individuel à un ordinateur</w:t>
            </w:r>
            <w:r w:rsidRPr="00DA2A0B">
              <w:rPr>
                <w:rFonts w:ascii="Verdana" w:hAnsi="Verdana"/>
                <w:sz w:val="18"/>
                <w:szCs w:val="18"/>
              </w:rPr>
              <w:t>.</w:t>
            </w:r>
          </w:p>
          <w:p w14:paraId="649FEA68" w14:textId="4B3E1887" w:rsidR="00B12C44" w:rsidRPr="00686380" w:rsidRDefault="00686380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</w:pPr>
            <w:r w:rsidRPr="00DA2A0B">
              <w:rPr>
                <w:rFonts w:ascii="Verdana" w:hAnsi="Verdana"/>
                <w:sz w:val="18"/>
                <w:szCs w:val="18"/>
              </w:rPr>
              <w:t>D</w:t>
            </w:r>
            <w:r w:rsidR="00D05A27">
              <w:rPr>
                <w:rFonts w:ascii="Verdana" w:hAnsi="Verdana"/>
                <w:sz w:val="18"/>
                <w:szCs w:val="18"/>
              </w:rPr>
              <w:t>ivers d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ocuments connexes. </w:t>
            </w:r>
            <w:r w:rsidR="00E77833">
              <w:rPr>
                <w:rFonts w:ascii="Verdana" w:hAnsi="Verdana"/>
                <w:sz w:val="18"/>
                <w:szCs w:val="18"/>
              </w:rPr>
              <w:t>On trouvera dans les supports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trois documents Word en format</w:t>
            </w:r>
            <w:r w:rsidR="00D358E3">
              <w:rPr>
                <w:rFonts w:ascii="Verdana" w:hAnsi="Verdana"/>
                <w:sz w:val="18"/>
                <w:szCs w:val="18"/>
              </w:rPr>
              <w:t> 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97-2003. Ils </w:t>
            </w:r>
            <w:r w:rsidR="00E77833">
              <w:rPr>
                <w:rFonts w:ascii="Verdana" w:hAnsi="Verdana"/>
                <w:sz w:val="18"/>
                <w:szCs w:val="18"/>
              </w:rPr>
              <w:t>seront mis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à la disposition des participants en version papier ou en version électronique si les circonstances le permettent et si tous les participants ont un accès individuel à un ordinateur.</w:t>
            </w:r>
          </w:p>
        </w:tc>
      </w:tr>
      <w:tr w:rsidR="003406F3" w:rsidRPr="003406F3" w14:paraId="5AA3C4AD" w14:textId="77777777" w:rsidTr="00466343">
        <w:trPr>
          <w:trHeight w:val="3685"/>
        </w:trPr>
        <w:tc>
          <w:tcPr>
            <w:tcW w:w="1615" w:type="dxa"/>
            <w:vAlign w:val="center"/>
          </w:tcPr>
          <w:p w14:paraId="07F9F799" w14:textId="08114281" w:rsidR="00A00A58" w:rsidRPr="003406F3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à 13</w:t>
            </w:r>
          </w:p>
        </w:tc>
        <w:tc>
          <w:tcPr>
            <w:tcW w:w="7395" w:type="dxa"/>
            <w:gridSpan w:val="2"/>
            <w:vAlign w:val="center"/>
          </w:tcPr>
          <w:p w14:paraId="2C99C249" w14:textId="20F1DEB4" w:rsidR="00686380" w:rsidRPr="00DA2A0B" w:rsidRDefault="00686380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>Les participants pourront suivre le développement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affaire avec dix </w:t>
            </w:r>
            <w:r w:rsidR="00E77833">
              <w:rPr>
                <w:rFonts w:ascii="Verdana" w:hAnsi="Verdana"/>
                <w:sz w:val="18"/>
                <w:szCs w:val="18"/>
              </w:rPr>
              <w:t>e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mails correspondant aux échanges qui ont eu lieu entre les responsables et employés </w:t>
            </w:r>
            <w:r w:rsidR="0076425D">
              <w:rPr>
                <w:rFonts w:ascii="Verdana" w:hAnsi="Verdana"/>
                <w:sz w:val="18"/>
                <w:szCs w:val="18"/>
              </w:rPr>
              <w:t>des sociétés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FBA et UBP qui se sont occupés des transactions et du contrat relatifs à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Pr="00DA2A0B">
              <w:rPr>
                <w:rFonts w:ascii="Verdana" w:hAnsi="Verdana"/>
                <w:sz w:val="18"/>
                <w:szCs w:val="18"/>
              </w:rPr>
              <w:t>impression des obligations anniversaire.</w:t>
            </w:r>
          </w:p>
          <w:p w14:paraId="21BF32C1" w14:textId="6ED86A34" w:rsidR="00686380" w:rsidRPr="00DA2A0B" w:rsidRDefault="00686380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>Le contrat FBA – UBP établi à la suite de ces échanges donne un aperçu du cadre commercial dans lequel a été conclu le marché et contient des dispositions qui vont être cruciales dans la suite du développement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Pr="00DA2A0B">
              <w:rPr>
                <w:rFonts w:ascii="Verdana" w:hAnsi="Verdana"/>
                <w:sz w:val="18"/>
                <w:szCs w:val="18"/>
              </w:rPr>
              <w:t>affaire.</w:t>
            </w:r>
          </w:p>
          <w:p w14:paraId="7F32C57B" w14:textId="18B86307" w:rsidR="00686380" w:rsidRPr="00DA2A0B" w:rsidRDefault="00686380" w:rsidP="00DA2A0B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 xml:space="preserve">Les relevés bancaires suivent la chronologie de l’affaire. Les </w:t>
            </w:r>
            <w:r w:rsidR="0097269E">
              <w:rPr>
                <w:rFonts w:ascii="Verdana" w:hAnsi="Verdana"/>
                <w:sz w:val="18"/>
                <w:szCs w:val="18"/>
              </w:rPr>
              <w:t>participant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s pourront appliquer le principe consistant à </w:t>
            </w:r>
            <w:r w:rsidR="0076425D">
              <w:rPr>
                <w:rFonts w:ascii="Verdana" w:hAnsi="Verdana"/>
                <w:sz w:val="18"/>
                <w:szCs w:val="18"/>
              </w:rPr>
              <w:t>« </w:t>
            </w:r>
            <w:r w:rsidRPr="00DA2A0B">
              <w:rPr>
                <w:rFonts w:ascii="Verdana" w:hAnsi="Verdana"/>
                <w:sz w:val="18"/>
                <w:szCs w:val="18"/>
              </w:rPr>
              <w:t>suivre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 w:rsidRPr="00DA2A0B">
              <w:rPr>
                <w:rFonts w:ascii="Verdana" w:hAnsi="Verdana"/>
                <w:sz w:val="18"/>
                <w:szCs w:val="18"/>
              </w:rPr>
              <w:t>argent</w:t>
            </w:r>
            <w:r w:rsidR="0076425D">
              <w:rPr>
                <w:rFonts w:ascii="Verdana" w:hAnsi="Verdana"/>
                <w:sz w:val="18"/>
                <w:szCs w:val="18"/>
              </w:rPr>
              <w:t> »</w:t>
            </w:r>
            <w:r w:rsidRPr="00DA2A0B">
              <w:rPr>
                <w:rFonts w:ascii="Verdana" w:hAnsi="Verdana"/>
                <w:sz w:val="18"/>
                <w:szCs w:val="18"/>
              </w:rPr>
              <w:t xml:space="preserve"> en analysant les relevés bancaires de la FBA et d’UBP.</w:t>
            </w:r>
          </w:p>
          <w:p w14:paraId="1B9C6A39" w14:textId="5E78AE3E" w:rsidR="00686380" w:rsidRPr="00DA2A0B" w:rsidRDefault="00686380" w:rsidP="00466343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DA2A0B">
              <w:rPr>
                <w:rFonts w:ascii="Verdana" w:hAnsi="Verdana"/>
                <w:sz w:val="18"/>
                <w:szCs w:val="18"/>
              </w:rPr>
              <w:t>La facture pro</w:t>
            </w:r>
            <w:r w:rsidR="00D358E3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DA2A0B">
              <w:rPr>
                <w:rFonts w:ascii="Verdana" w:hAnsi="Verdana"/>
                <w:sz w:val="18"/>
                <w:szCs w:val="18"/>
              </w:rPr>
              <w:t>forma est une facture légitime présentée à la FBA par UBP pour un paiement anticipé de 100 000 €.</w:t>
            </w:r>
          </w:p>
        </w:tc>
      </w:tr>
      <w:tr w:rsidR="00DB09DC" w:rsidRPr="003406F3" w14:paraId="29253992" w14:textId="77777777" w:rsidTr="00466343">
        <w:trPr>
          <w:trHeight w:val="964"/>
        </w:trPr>
        <w:tc>
          <w:tcPr>
            <w:tcW w:w="1615" w:type="dxa"/>
            <w:vAlign w:val="center"/>
          </w:tcPr>
          <w:p w14:paraId="7CB27A05" w14:textId="774DC3DA" w:rsidR="00DB09DC" w:rsidRDefault="00686380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 à 16</w:t>
            </w:r>
          </w:p>
        </w:tc>
        <w:tc>
          <w:tcPr>
            <w:tcW w:w="7395" w:type="dxa"/>
            <w:gridSpan w:val="2"/>
            <w:vAlign w:val="center"/>
          </w:tcPr>
          <w:p w14:paraId="367D0116" w14:textId="46F402AA" w:rsidR="00AF35EA" w:rsidRDefault="00AF35EA" w:rsidP="00AF35E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Diapositives </w:t>
            </w:r>
            <w:r w:rsidR="00DA2A0B">
              <w:rPr>
                <w:rFonts w:ascii="Verdana" w:hAnsi="Verdana"/>
                <w:sz w:val="18"/>
                <w:szCs w:val="18"/>
              </w:rPr>
              <w:t>« </w:t>
            </w:r>
            <w:r>
              <w:rPr>
                <w:rFonts w:ascii="Verdana" w:hAnsi="Verdana"/>
                <w:sz w:val="18"/>
                <w:szCs w:val="18"/>
              </w:rPr>
              <w:t>Glossaire</w:t>
            </w:r>
            <w:r w:rsidR="00DA2A0B">
              <w:rPr>
                <w:rFonts w:ascii="Verdana" w:hAnsi="Verdana"/>
                <w:sz w:val="18"/>
                <w:szCs w:val="18"/>
              </w:rPr>
              <w:t> »</w:t>
            </w:r>
          </w:p>
          <w:p w14:paraId="660000A2" w14:textId="56C176AF" w:rsidR="00B12C44" w:rsidRPr="006458F4" w:rsidRDefault="00AF35EA" w:rsidP="0046634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Dans un premier temps, le travail d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>investigation se fera en groupes, à partir des éléments fournis dans les supports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>étude de cas.</w:t>
            </w:r>
          </w:p>
        </w:tc>
      </w:tr>
      <w:tr w:rsidR="00AF35EA" w:rsidRPr="003406F3" w14:paraId="107CED32" w14:textId="77777777" w:rsidTr="00466343">
        <w:trPr>
          <w:trHeight w:val="2309"/>
        </w:trPr>
        <w:tc>
          <w:tcPr>
            <w:tcW w:w="1615" w:type="dxa"/>
            <w:vAlign w:val="center"/>
          </w:tcPr>
          <w:p w14:paraId="7F8C493C" w14:textId="7082AABD" w:rsidR="00AF35EA" w:rsidRPr="003406F3" w:rsidRDefault="00AF35EA" w:rsidP="00ED0A3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7395" w:type="dxa"/>
            <w:gridSpan w:val="2"/>
            <w:vAlign w:val="center"/>
          </w:tcPr>
          <w:p w14:paraId="43E2804D" w14:textId="0F668644"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Résumé</w:t>
            </w:r>
          </w:p>
          <w:p w14:paraId="6360ED67" w14:textId="53074D06" w:rsidR="00AF35EA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Il est recommandé de revoir toutes les étapes clés en laissant aux participants suffisamment de temps pour poser des questions et prendre conscience de la « réalité » du scénario.</w:t>
            </w:r>
          </w:p>
          <w:p w14:paraId="188063AF" w14:textId="6C75E05A" w:rsidR="00AF35EA" w:rsidRPr="003406F3" w:rsidRDefault="00AF35EA" w:rsidP="00ED0A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Les formateurs doivent avoir une connaissance suffisante de l</w:t>
            </w:r>
            <w:r w:rsidR="00D358E3">
              <w:rPr>
                <w:rFonts w:ascii="Verdana" w:hAnsi="Verdana"/>
                <w:sz w:val="18"/>
                <w:szCs w:val="18"/>
              </w:rPr>
              <w:t>’</w:t>
            </w:r>
            <w:r>
              <w:rPr>
                <w:rFonts w:ascii="Verdana" w:hAnsi="Verdana"/>
                <w:sz w:val="18"/>
                <w:szCs w:val="18"/>
              </w:rPr>
              <w:t>affaire et de la manière dont elle a été construite pour pouvoir répondre aux questions et aider les participants.</w:t>
            </w:r>
          </w:p>
        </w:tc>
      </w:tr>
      <w:tr w:rsidR="003406F3" w:rsidRPr="003406F3" w14:paraId="2ECF09B7" w14:textId="77777777" w:rsidTr="00466343">
        <w:trPr>
          <w:trHeight w:val="984"/>
        </w:trPr>
        <w:tc>
          <w:tcPr>
            <w:tcW w:w="9010" w:type="dxa"/>
            <w:gridSpan w:val="3"/>
            <w:vAlign w:val="center"/>
          </w:tcPr>
          <w:p w14:paraId="55ED1F4B" w14:textId="1B423D9B" w:rsidR="00CB3026" w:rsidRPr="003406F3" w:rsidRDefault="00CB3026" w:rsidP="00466343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Exercices pratiques</w:t>
            </w:r>
          </w:p>
          <w:p w14:paraId="04D65D89" w14:textId="18269189" w:rsidR="00CB3026" w:rsidRPr="003406F3" w:rsidRDefault="005F385C" w:rsidP="00466343">
            <w:pPr>
              <w:tabs>
                <w:tab w:val="left" w:pos="426"/>
                <w:tab w:val="left" w:pos="851"/>
              </w:tabs>
              <w:spacing w:after="24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Aucun exercice pratique n’est envisagé dans ce cours.</w:t>
            </w:r>
          </w:p>
        </w:tc>
      </w:tr>
      <w:tr w:rsidR="003406F3" w:rsidRPr="003406F3" w14:paraId="603967A2" w14:textId="77777777" w:rsidTr="00466343">
        <w:trPr>
          <w:trHeight w:val="740"/>
        </w:trPr>
        <w:tc>
          <w:tcPr>
            <w:tcW w:w="9010" w:type="dxa"/>
            <w:gridSpan w:val="3"/>
            <w:vAlign w:val="center"/>
          </w:tcPr>
          <w:p w14:paraId="57B48D1E" w14:textId="72BF7845" w:rsidR="00CB3026" w:rsidRPr="003406F3" w:rsidRDefault="006458F4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É</w:t>
            </w:r>
            <w:r w:rsidR="00CB3026">
              <w:rPr>
                <w:rFonts w:ascii="Verdana" w:hAnsi="Verdana"/>
                <w:b/>
                <w:sz w:val="22"/>
                <w:szCs w:val="22"/>
              </w:rPr>
              <w:t>valuation/vérification des connaissances</w:t>
            </w:r>
          </w:p>
          <w:p w14:paraId="4496975B" w14:textId="721344C7" w:rsidR="00CB3026" w:rsidRPr="003406F3" w:rsidRDefault="0046634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Aucune évaluation formelle n’a été préparée pour cette session. Le formateur est encouragé à vérifier les connaissances et la compréhension des </w:t>
            </w:r>
            <w:r w:rsidR="00B01E73">
              <w:rPr>
                <w:rFonts w:ascii="Verdana" w:hAnsi="Verdana"/>
                <w:sz w:val="18"/>
                <w:szCs w:val="18"/>
              </w:rPr>
              <w:t>participants</w:t>
            </w:r>
            <w:r>
              <w:rPr>
                <w:rFonts w:ascii="Verdana" w:hAnsi="Verdana"/>
                <w:sz w:val="18"/>
                <w:szCs w:val="18"/>
              </w:rPr>
              <w:t xml:space="preserve"> en posant des questions appropriées tout au long de la session.</w:t>
            </w:r>
          </w:p>
        </w:tc>
      </w:tr>
    </w:tbl>
    <w:p w14:paraId="15498912" w14:textId="77777777" w:rsidR="00D82C18" w:rsidRPr="003406F3" w:rsidRDefault="00D82C18" w:rsidP="00466343">
      <w:pPr>
        <w:rPr>
          <w:rFonts w:ascii="Verdana" w:hAnsi="Verdana"/>
        </w:rPr>
      </w:pPr>
      <w:bookmarkStart w:id="0" w:name="_GoBack"/>
      <w:bookmarkEnd w:id="0"/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5DC38" w14:textId="77777777" w:rsidR="00A950FD" w:rsidRDefault="00A950FD" w:rsidP="00D358E3">
      <w:r>
        <w:separator/>
      </w:r>
    </w:p>
  </w:endnote>
  <w:endnote w:type="continuationSeparator" w:id="0">
    <w:p w14:paraId="3344C37A" w14:textId="77777777" w:rsidR="00A950FD" w:rsidRDefault="00A950FD" w:rsidP="00D3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C79CC" w14:textId="77777777" w:rsidR="00A950FD" w:rsidRDefault="00A950FD" w:rsidP="00D358E3">
      <w:r>
        <w:separator/>
      </w:r>
    </w:p>
  </w:footnote>
  <w:footnote w:type="continuationSeparator" w:id="0">
    <w:p w14:paraId="69A95803" w14:textId="77777777" w:rsidR="00A950FD" w:rsidRDefault="00A950FD" w:rsidP="00D3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B221ED2"/>
    <w:multiLevelType w:val="hybridMultilevel"/>
    <w:tmpl w:val="435EC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C2020C4"/>
    <w:multiLevelType w:val="hybridMultilevel"/>
    <w:tmpl w:val="54D2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10"/>
  </w:num>
  <w:num w:numId="7">
    <w:abstractNumId w:val="0"/>
  </w:num>
  <w:num w:numId="8">
    <w:abstractNumId w:val="6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428D"/>
    <w:rsid w:val="001B5DAD"/>
    <w:rsid w:val="00252003"/>
    <w:rsid w:val="00271010"/>
    <w:rsid w:val="0027512B"/>
    <w:rsid w:val="002F375E"/>
    <w:rsid w:val="003406F3"/>
    <w:rsid w:val="0035226E"/>
    <w:rsid w:val="003630ED"/>
    <w:rsid w:val="00397FEA"/>
    <w:rsid w:val="003E0EDB"/>
    <w:rsid w:val="004639E3"/>
    <w:rsid w:val="00466343"/>
    <w:rsid w:val="0051122C"/>
    <w:rsid w:val="00534FB7"/>
    <w:rsid w:val="005703B7"/>
    <w:rsid w:val="00594B3F"/>
    <w:rsid w:val="005951B6"/>
    <w:rsid w:val="00596AA5"/>
    <w:rsid w:val="005A4E47"/>
    <w:rsid w:val="005F385C"/>
    <w:rsid w:val="006458F4"/>
    <w:rsid w:val="00686380"/>
    <w:rsid w:val="006B6864"/>
    <w:rsid w:val="006C6DDD"/>
    <w:rsid w:val="007169BB"/>
    <w:rsid w:val="00721699"/>
    <w:rsid w:val="00747781"/>
    <w:rsid w:val="007514CB"/>
    <w:rsid w:val="00761BA4"/>
    <w:rsid w:val="0076425D"/>
    <w:rsid w:val="007B75A9"/>
    <w:rsid w:val="00823B30"/>
    <w:rsid w:val="008738A4"/>
    <w:rsid w:val="008B39AF"/>
    <w:rsid w:val="008E161D"/>
    <w:rsid w:val="008E3FE7"/>
    <w:rsid w:val="009277BD"/>
    <w:rsid w:val="0094072C"/>
    <w:rsid w:val="0097269E"/>
    <w:rsid w:val="009777AB"/>
    <w:rsid w:val="00A00A58"/>
    <w:rsid w:val="00A03CF0"/>
    <w:rsid w:val="00A4110D"/>
    <w:rsid w:val="00A60CE6"/>
    <w:rsid w:val="00A6245A"/>
    <w:rsid w:val="00A734A5"/>
    <w:rsid w:val="00A950FD"/>
    <w:rsid w:val="00AF35EA"/>
    <w:rsid w:val="00AF62EC"/>
    <w:rsid w:val="00B01E73"/>
    <w:rsid w:val="00B03741"/>
    <w:rsid w:val="00B12C44"/>
    <w:rsid w:val="00B468A3"/>
    <w:rsid w:val="00B569A5"/>
    <w:rsid w:val="00B71D66"/>
    <w:rsid w:val="00C05A37"/>
    <w:rsid w:val="00C37065"/>
    <w:rsid w:val="00C541A2"/>
    <w:rsid w:val="00CB02C4"/>
    <w:rsid w:val="00CB3026"/>
    <w:rsid w:val="00CF0C7C"/>
    <w:rsid w:val="00D05A27"/>
    <w:rsid w:val="00D358E3"/>
    <w:rsid w:val="00D35DF3"/>
    <w:rsid w:val="00D66094"/>
    <w:rsid w:val="00D82C18"/>
    <w:rsid w:val="00D944B5"/>
    <w:rsid w:val="00DA2A0B"/>
    <w:rsid w:val="00DB09DC"/>
    <w:rsid w:val="00E13BE7"/>
    <w:rsid w:val="00E17E67"/>
    <w:rsid w:val="00E55549"/>
    <w:rsid w:val="00E7344B"/>
    <w:rsid w:val="00E77833"/>
    <w:rsid w:val="00E95703"/>
    <w:rsid w:val="00F35B67"/>
    <w:rsid w:val="00F62A15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F845DAC7-9A59-46B8-9583-A1117FF7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fr-FR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En-tte">
    <w:name w:val="header"/>
    <w:basedOn w:val="Normal"/>
    <w:link w:val="En-tteCar"/>
    <w:uiPriority w:val="99"/>
    <w:unhideWhenUsed/>
    <w:rsid w:val="00D358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358E3"/>
  </w:style>
  <w:style w:type="paragraph" w:styleId="Pieddepage">
    <w:name w:val="footer"/>
    <w:basedOn w:val="Normal"/>
    <w:link w:val="PieddepageCar"/>
    <w:uiPriority w:val="99"/>
    <w:unhideWhenUsed/>
    <w:rsid w:val="00D358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3937</Characters>
  <Application>Microsoft Office Word</Application>
  <DocSecurity>0</DocSecurity>
  <Lines>32</Lines>
  <Paragraphs>9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CAROLINE MARTIN</cp:lastModifiedBy>
  <cp:revision>9</cp:revision>
  <dcterms:created xsi:type="dcterms:W3CDTF">2018-03-28T19:32:00Z</dcterms:created>
  <dcterms:modified xsi:type="dcterms:W3CDTF">2018-06-01T08:15:00Z</dcterms:modified>
</cp:coreProperties>
</file>